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1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3375"/>
        <w:gridCol w:w="2426"/>
        <w:gridCol w:w="2638"/>
        <w:gridCol w:w="5582"/>
      </w:tblGrid>
      <w:tr w:rsidR="00A82D0A" w:rsidRPr="008078BC" w:rsidTr="00E56CB5">
        <w:tc>
          <w:tcPr>
            <w:tcW w:w="15301" w:type="dxa"/>
            <w:gridSpan w:val="5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0CECE" w:themeFill="background2" w:themeFillShade="E6"/>
            <w:vAlign w:val="center"/>
            <w:hideMark/>
          </w:tcPr>
          <w:p w:rsidR="00A82D0A" w:rsidRPr="008078BC" w:rsidRDefault="00A82D0A" w:rsidP="00E56CB5">
            <w:pPr>
              <w:shd w:val="clear" w:color="auto" w:fill="D0CECE" w:themeFill="background2" w:themeFillShade="E6"/>
              <w:spacing w:after="100" w:afterAutospacing="1"/>
              <w:rPr>
                <w:rFonts w:ascii="Arial" w:eastAsia="Times New Roman" w:hAnsi="Arial" w:cs="Arial"/>
                <w:b/>
                <w:bCs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b/>
                <w:bCs/>
                <w:i/>
                <w:color w:val="555555"/>
                <w:lang w:eastAsia="de-DE"/>
              </w:rPr>
              <w:t>Staphylokokkus aureus</w:t>
            </w:r>
            <w:r w:rsidR="00F50E29" w:rsidRPr="008078BC">
              <w:rPr>
                <w:rFonts w:ascii="Arial" w:eastAsia="Times New Roman" w:hAnsi="Arial" w:cs="Arial"/>
                <w:b/>
                <w:bCs/>
                <w:color w:val="555555"/>
                <w:lang w:eastAsia="de-DE"/>
              </w:rPr>
              <w:t>-</w:t>
            </w:r>
            <w:r w:rsidRPr="008078BC">
              <w:rPr>
                <w:rFonts w:ascii="Arial" w:eastAsia="Times New Roman" w:hAnsi="Arial" w:cs="Arial"/>
                <w:b/>
                <w:bCs/>
                <w:color w:val="555555"/>
                <w:lang w:eastAsia="de-DE"/>
              </w:rPr>
              <w:t>Bakteriämie </w:t>
            </w:r>
          </w:p>
          <w:p w:rsidR="00F50E29" w:rsidRPr="008078BC" w:rsidRDefault="00F50E29" w:rsidP="00A82D0A">
            <w:pPr>
              <w:spacing w:after="100" w:afterAutospacing="1"/>
              <w:rPr>
                <w:rFonts w:ascii="Arial" w:eastAsia="Times New Roman" w:hAnsi="Arial" w:cs="Arial"/>
                <w:color w:val="555555"/>
                <w:lang w:eastAsia="de-DE"/>
              </w:rPr>
            </w:pPr>
          </w:p>
        </w:tc>
      </w:tr>
      <w:tr w:rsidR="00A82D0A" w:rsidRPr="008078BC" w:rsidTr="00A82D0A">
        <w:tc>
          <w:tcPr>
            <w:tcW w:w="15301" w:type="dxa"/>
            <w:gridSpan w:val="5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9F4C57">
            <w:pPr>
              <w:spacing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b/>
                <w:bCs/>
                <w:color w:val="555555"/>
                <w:lang w:eastAsia="de-DE"/>
              </w:rPr>
              <w:t>Praktisches Vorgehen:</w:t>
            </w:r>
          </w:p>
          <w:p w:rsidR="00A82D0A" w:rsidRPr="008078BC" w:rsidRDefault="00A82D0A" w:rsidP="009F4C57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Antibiotische Therapie (vgl. Tabelle S. aureus Bakteriämie)</w:t>
            </w:r>
          </w:p>
          <w:p w:rsidR="00A82D0A" w:rsidRPr="008078BC" w:rsidRDefault="00A82D0A" w:rsidP="009F4C57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Fokussuche: Akribische Untersuchung</w:t>
            </w: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br/>
              <w:t>-  Eintrittspforte, wenn möglich sanieren</w:t>
            </w: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br/>
              <w:t>-  septische Metastasen</w:t>
            </w: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br/>
              <w:t>-  Venenkatheter, wenn vorhanden, dann möglichst raus</w:t>
            </w:r>
          </w:p>
          <w:p w:rsidR="00A82D0A" w:rsidRPr="008078BC" w:rsidRDefault="00A82D0A" w:rsidP="009F4C57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Folgeblutkulturen alle 48-72 Stunden,</w:t>
            </w:r>
          </w:p>
          <w:p w:rsidR="00A82D0A" w:rsidRPr="008078BC" w:rsidRDefault="00A82D0A" w:rsidP="009F4C57">
            <w:pPr>
              <w:spacing w:after="100" w:afterAutospacing="1" w:line="360" w:lineRule="auto"/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eine positive Blutkultur 3 Tage nach Start einer effektiven antibiotischen Therapie ist der strengste Prädiktor für eine </w:t>
            </w:r>
            <w:r w:rsidRPr="008078BC">
              <w:rPr>
                <w:rFonts w:ascii="Arial" w:eastAsia="Times New Roman" w:hAnsi="Arial" w:cs="Arial"/>
                <w:u w:val="single"/>
                <w:lang w:eastAsia="de-DE"/>
              </w:rPr>
              <w:t>komplizierte</w:t>
            </w:r>
            <w:r w:rsidRPr="008078BC">
              <w:rPr>
                <w:rFonts w:ascii="Arial" w:eastAsia="Times New Roman" w:hAnsi="Arial" w:cs="Arial"/>
                <w:lang w:eastAsia="de-DE"/>
              </w:rPr>
              <w:t> S. aureus Bakteriämie -&gt;</w:t>
            </w:r>
            <w:r w:rsidRPr="008078BC">
              <w:rPr>
                <w:rFonts w:ascii="Arial" w:eastAsia="Times New Roman" w:hAnsi="Arial" w:cs="Arial"/>
                <w:b/>
                <w:bCs/>
                <w:lang w:eastAsia="de-DE"/>
              </w:rPr>
              <w:t> infektiologisches Konsil</w:t>
            </w:r>
          </w:p>
          <w:p w:rsidR="00A82D0A" w:rsidRPr="008078BC" w:rsidRDefault="00A82D0A" w:rsidP="009F4C57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TEE ist obligat:  25% der Patienten mit Staph. aureus Bakteriämie haben/entwickeln eine Endokarditis</w:t>
            </w:r>
          </w:p>
          <w:p w:rsidR="00A82D0A" w:rsidRPr="008078BC" w:rsidRDefault="00A82D0A" w:rsidP="009F4C57">
            <w:pPr>
              <w:spacing w:after="100" w:afterAutospacing="1" w:line="360" w:lineRule="auto"/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     -&gt; seltene Ausnahmen bei nosokomialer Bakteriämie und unkompliziertem Verlauf:</w:t>
            </w:r>
            <w:r w:rsidRPr="008078BC">
              <w:rPr>
                <w:rFonts w:ascii="Arial" w:eastAsia="Times New Roman" w:hAnsi="Arial" w:cs="Arial"/>
                <w:lang w:eastAsia="de-DE"/>
              </w:rPr>
              <w:br/>
              <w:t>     hierfür infektiologisches Konsil</w:t>
            </w:r>
          </w:p>
          <w:p w:rsidR="00A82D0A" w:rsidRPr="008078BC" w:rsidRDefault="00A82D0A" w:rsidP="009F4C57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Permanentes Fremdmaterial in situ -&gt; infektiologisches Konsil</w:t>
            </w:r>
          </w:p>
        </w:tc>
      </w:tr>
      <w:tr w:rsidR="00A82D0A" w:rsidRPr="008078BC" w:rsidTr="00A82D0A">
        <w:tc>
          <w:tcPr>
            <w:tcW w:w="15301" w:type="dxa"/>
            <w:gridSpan w:val="5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9F4C57">
            <w:pPr>
              <w:spacing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b/>
                <w:bCs/>
                <w:color w:val="555555"/>
                <w:lang w:eastAsia="de-DE"/>
              </w:rPr>
              <w:t>Theorie:</w:t>
            </w:r>
          </w:p>
          <w:p w:rsidR="00A82D0A" w:rsidRPr="008078BC" w:rsidRDefault="00A82D0A" w:rsidP="009F4C57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i/>
                <w:color w:val="555555"/>
                <w:lang w:eastAsia="de-DE"/>
              </w:rPr>
              <w:t>S. aureus</w:t>
            </w: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 xml:space="preserve"> Bakteriämie zweithäufigste BSI mit einer Inzidenz von 20-30%</w:t>
            </w:r>
          </w:p>
          <w:p w:rsidR="00A82D0A" w:rsidRPr="008078BC" w:rsidRDefault="00A82D0A" w:rsidP="009F4C57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i/>
                <w:color w:val="555555"/>
                <w:lang w:eastAsia="de-DE"/>
              </w:rPr>
              <w:t>S. aureus</w:t>
            </w: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 xml:space="preserve"> in der Blutkultur ist in der Regel keine Kontamination</w:t>
            </w:r>
          </w:p>
          <w:p w:rsidR="00A82D0A" w:rsidRPr="008078BC" w:rsidRDefault="00A82D0A" w:rsidP="009F4C57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30-Tage Letalität: 20%</w:t>
            </w:r>
          </w:p>
          <w:p w:rsidR="00A82D0A" w:rsidRPr="008078BC" w:rsidRDefault="00A82D0A" w:rsidP="009F4C57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 xml:space="preserve">„unkomplizierte“ </w:t>
            </w:r>
            <w:r w:rsidRPr="008078BC">
              <w:rPr>
                <w:rFonts w:ascii="Arial" w:eastAsia="Times New Roman" w:hAnsi="Arial" w:cs="Arial"/>
                <w:i/>
                <w:color w:val="555555"/>
                <w:lang w:eastAsia="de-DE"/>
              </w:rPr>
              <w:t>S. aureus</w:t>
            </w: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 xml:space="preserve"> Bakteriämie:</w:t>
            </w:r>
          </w:p>
          <w:p w:rsidR="00A82D0A" w:rsidRPr="008078BC" w:rsidRDefault="00A82D0A" w:rsidP="009F4C57">
            <w:pPr>
              <w:numPr>
                <w:ilvl w:val="1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lastRenderedPageBreak/>
              <w:t>Nachweis eines nicht-tiefsitzenden primären Fokus oder Nachweis einer katheter-assoziierten S. aureus Bakteriämie mit prompter Entfernung des betroffenen Katheters</w:t>
            </w:r>
          </w:p>
          <w:p w:rsidR="00A82D0A" w:rsidRPr="008078BC" w:rsidRDefault="00A82D0A" w:rsidP="009F4C57">
            <w:pPr>
              <w:numPr>
                <w:ilvl w:val="1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Kein Wachstum in Kontroll-Blutkulturen 48-72 Stunden nach Therapiebeginn</w:t>
            </w:r>
          </w:p>
          <w:p w:rsidR="00A82D0A" w:rsidRPr="008078BC" w:rsidRDefault="00A82D0A" w:rsidP="009F4C57">
            <w:pPr>
              <w:numPr>
                <w:ilvl w:val="1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Entfieberung innerhalb von 48-72 Stunden nach Therapiebeginn</w:t>
            </w:r>
          </w:p>
          <w:p w:rsidR="00A82D0A" w:rsidRPr="008078BC" w:rsidRDefault="00A82D0A" w:rsidP="009F4C57">
            <w:pPr>
              <w:numPr>
                <w:ilvl w:val="1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Keine Endokarditis im transösophagealen Echo (TEE)Keine dauerhaft implantierten Fremdkörper (Kunstklappen, Gelenkprothesen, Herzschrittmacher, Defibrillator)</w:t>
            </w:r>
          </w:p>
          <w:p w:rsidR="00A82D0A" w:rsidRPr="008078BC" w:rsidRDefault="00A82D0A" w:rsidP="009F4C57">
            <w:pPr>
              <w:numPr>
                <w:ilvl w:val="1"/>
                <w:numId w:val="4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Kein Anhalt für metastatische Absiedlungen oder Abszesse an anderer Stelle</w:t>
            </w:r>
          </w:p>
        </w:tc>
      </w:tr>
      <w:tr w:rsidR="00A82D0A" w:rsidRPr="008078BC" w:rsidTr="00A82D0A">
        <w:tc>
          <w:tcPr>
            <w:tcW w:w="15301" w:type="dxa"/>
            <w:gridSpan w:val="5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9F4C57" w:rsidRDefault="00A82D0A" w:rsidP="00A82D0A">
            <w:pPr>
              <w:rPr>
                <w:rFonts w:ascii="Arial" w:eastAsia="Times New Roman" w:hAnsi="Arial" w:cs="Arial"/>
                <w:b/>
                <w:color w:val="555555"/>
                <w:lang w:eastAsia="de-DE"/>
              </w:rPr>
            </w:pPr>
            <w:r w:rsidRPr="009F4C57">
              <w:rPr>
                <w:rFonts w:ascii="Arial" w:eastAsia="Times New Roman" w:hAnsi="Arial" w:cs="Arial"/>
                <w:b/>
                <w:color w:val="555555"/>
                <w:lang w:eastAsia="de-DE"/>
              </w:rPr>
              <w:lastRenderedPageBreak/>
              <w:t> 1. MSSA (Methicillin sensible Staphylokokken)</w:t>
            </w:r>
          </w:p>
        </w:tc>
      </w:tr>
      <w:tr w:rsidR="00A82D0A" w:rsidRPr="008078BC" w:rsidTr="009F4C57">
        <w:tc>
          <w:tcPr>
            <w:tcW w:w="0" w:type="auto"/>
            <w:vMerge w:val="restar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Antibiotikum</w:t>
            </w:r>
          </w:p>
        </w:tc>
        <w:tc>
          <w:tcPr>
            <w:tcW w:w="3375" w:type="dxa"/>
            <w:vMerge w:val="restar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Dosierung</w:t>
            </w:r>
          </w:p>
        </w:tc>
        <w:tc>
          <w:tcPr>
            <w:tcW w:w="5064" w:type="dxa"/>
            <w:gridSpan w:val="2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Dauer [Wo.] (i.v./p.o.)</w:t>
            </w:r>
          </w:p>
        </w:tc>
        <w:tc>
          <w:tcPr>
            <w:tcW w:w="5582" w:type="dxa"/>
            <w:vMerge w:val="restar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Kommentar</w:t>
            </w:r>
          </w:p>
        </w:tc>
      </w:tr>
      <w:tr w:rsidR="00A82D0A" w:rsidRPr="008078BC" w:rsidTr="009F4C57">
        <w:tc>
          <w:tcPr>
            <w:tcW w:w="0" w:type="auto"/>
            <w:vMerge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</w:p>
        </w:tc>
        <w:tc>
          <w:tcPr>
            <w:tcW w:w="0" w:type="auto"/>
            <w:vMerge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unkompliziert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kompliziert</w:t>
            </w:r>
          </w:p>
        </w:tc>
        <w:tc>
          <w:tcPr>
            <w:tcW w:w="5582" w:type="dxa"/>
            <w:vMerge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</w:p>
        </w:tc>
      </w:tr>
      <w:tr w:rsidR="00A82D0A" w:rsidRPr="008078BC" w:rsidTr="009F4C57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bookmarkStart w:id="0" w:name="_GoBack" w:colFirst="0" w:colLast="4"/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Flucloxacillin</w:t>
            </w:r>
          </w:p>
        </w:tc>
        <w:tc>
          <w:tcPr>
            <w:tcW w:w="337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6 x 2g i.v./d oder</w:t>
            </w:r>
            <w:r w:rsidRPr="008078BC">
              <w:rPr>
                <w:rFonts w:ascii="Arial" w:eastAsia="Times New Roman" w:hAnsi="Arial" w:cs="Arial"/>
                <w:lang w:eastAsia="de-DE"/>
              </w:rPr>
              <w:br/>
              <w:t>4 x 3g prolongiert i.v./d</w:t>
            </w: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 + 2 p.o. *</w:t>
            </w:r>
          </w:p>
        </w:tc>
        <w:tc>
          <w:tcPr>
            <w:tcW w:w="5582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keine Pen.-Allergie</w:t>
            </w:r>
          </w:p>
        </w:tc>
      </w:tr>
      <w:bookmarkEnd w:id="0"/>
      <w:tr w:rsidR="00A82D0A" w:rsidRPr="008078BC" w:rsidTr="009F4C57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Cefazolin</w:t>
            </w:r>
          </w:p>
        </w:tc>
        <w:tc>
          <w:tcPr>
            <w:tcW w:w="337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3x 2g i.v./d</w:t>
            </w: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 + 2 p.o. *</w:t>
            </w:r>
          </w:p>
        </w:tc>
        <w:tc>
          <w:tcPr>
            <w:tcW w:w="5582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wenn Pen.-Allergie (nicht Sofort-Typ)</w:t>
            </w:r>
          </w:p>
        </w:tc>
      </w:tr>
      <w:tr w:rsidR="00A82D0A" w:rsidRPr="008078BC" w:rsidTr="009F4C57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Vancomycin</w:t>
            </w:r>
          </w:p>
        </w:tc>
        <w:tc>
          <w:tcPr>
            <w:tcW w:w="337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x 15mg/kg KG/d i.v.</w:t>
            </w: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 + 2 p.o. *</w:t>
            </w:r>
          </w:p>
        </w:tc>
        <w:tc>
          <w:tcPr>
            <w:tcW w:w="5582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bei Beta-Lactam-Allergie; TS 20 mg/l</w:t>
            </w:r>
          </w:p>
        </w:tc>
      </w:tr>
      <w:tr w:rsidR="00A82D0A" w:rsidRPr="008078BC" w:rsidTr="009F4C57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Daptomycin</w:t>
            </w:r>
          </w:p>
        </w:tc>
        <w:tc>
          <w:tcPr>
            <w:tcW w:w="337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1 x 12mg/kg KG/d i.v.</w:t>
            </w: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 + 2 p.o. *</w:t>
            </w:r>
          </w:p>
        </w:tc>
        <w:tc>
          <w:tcPr>
            <w:tcW w:w="5582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bei Vanco-Intoleranz (nicht Pneumonie)</w:t>
            </w:r>
          </w:p>
        </w:tc>
      </w:tr>
      <w:tr w:rsidR="00A82D0A" w:rsidRPr="008078BC" w:rsidTr="00A82D0A">
        <w:tc>
          <w:tcPr>
            <w:tcW w:w="15301" w:type="dxa"/>
            <w:gridSpan w:val="5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9F4C57" w:rsidRDefault="00A82D0A" w:rsidP="00A82D0A">
            <w:pPr>
              <w:rPr>
                <w:rFonts w:ascii="Arial" w:eastAsia="Times New Roman" w:hAnsi="Arial" w:cs="Arial"/>
                <w:b/>
                <w:lang w:eastAsia="de-DE"/>
              </w:rPr>
            </w:pPr>
            <w:r w:rsidRPr="009F4C57">
              <w:rPr>
                <w:rFonts w:ascii="Arial" w:eastAsia="Times New Roman" w:hAnsi="Arial" w:cs="Arial"/>
                <w:b/>
                <w:lang w:eastAsia="de-DE"/>
              </w:rPr>
              <w:t>2. MRSA (Methicillin resistente Staphylokokken)</w:t>
            </w:r>
          </w:p>
        </w:tc>
      </w:tr>
      <w:tr w:rsidR="00A82D0A" w:rsidRPr="008078BC" w:rsidTr="009F4C57">
        <w:tc>
          <w:tcPr>
            <w:tcW w:w="0" w:type="auto"/>
            <w:vMerge w:val="restar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Antibiotikum</w:t>
            </w:r>
          </w:p>
        </w:tc>
        <w:tc>
          <w:tcPr>
            <w:tcW w:w="3375" w:type="dxa"/>
            <w:vMerge w:val="restar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Dosierung</w:t>
            </w:r>
          </w:p>
        </w:tc>
        <w:tc>
          <w:tcPr>
            <w:tcW w:w="5064" w:type="dxa"/>
            <w:gridSpan w:val="2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Dauer [Wochen]</w:t>
            </w:r>
          </w:p>
        </w:tc>
        <w:tc>
          <w:tcPr>
            <w:tcW w:w="5582" w:type="dxa"/>
            <w:vMerge w:val="restar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Kommentar</w:t>
            </w:r>
          </w:p>
        </w:tc>
      </w:tr>
      <w:tr w:rsidR="00A82D0A" w:rsidRPr="008078BC" w:rsidTr="009F4C57">
        <w:tc>
          <w:tcPr>
            <w:tcW w:w="0" w:type="auto"/>
            <w:vMerge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</w:p>
        </w:tc>
        <w:tc>
          <w:tcPr>
            <w:tcW w:w="0" w:type="auto"/>
            <w:vMerge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unkompliziert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kompliziert</w:t>
            </w:r>
          </w:p>
        </w:tc>
        <w:tc>
          <w:tcPr>
            <w:tcW w:w="5582" w:type="dxa"/>
            <w:vMerge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</w:p>
        </w:tc>
      </w:tr>
      <w:tr w:rsidR="00A82D0A" w:rsidRPr="00F51E55" w:rsidTr="009F4C57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Vancomycin</w:t>
            </w:r>
          </w:p>
        </w:tc>
        <w:tc>
          <w:tcPr>
            <w:tcW w:w="337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x 15mg/kg KG/d i.v.</w:t>
            </w: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 + 2 p.o. *</w:t>
            </w:r>
          </w:p>
        </w:tc>
        <w:tc>
          <w:tcPr>
            <w:tcW w:w="5582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val="en-US"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val="en-US" w:eastAsia="de-DE"/>
              </w:rPr>
              <w:t>Vanco-Talspiegel (TS) 20 mg/l</w:t>
            </w:r>
          </w:p>
        </w:tc>
      </w:tr>
      <w:tr w:rsidR="00A82D0A" w:rsidRPr="008078BC" w:rsidTr="009F4C57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Daptomycin</w:t>
            </w:r>
          </w:p>
        </w:tc>
        <w:tc>
          <w:tcPr>
            <w:tcW w:w="337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1 x 12mg/kg KG/d i.v.</w:t>
            </w:r>
          </w:p>
        </w:tc>
        <w:tc>
          <w:tcPr>
            <w:tcW w:w="2426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lang w:eastAsia="de-DE"/>
              </w:rPr>
            </w:pPr>
            <w:r w:rsidRPr="008078BC">
              <w:rPr>
                <w:rFonts w:ascii="Arial" w:eastAsia="Times New Roman" w:hAnsi="Arial" w:cs="Arial"/>
                <w:lang w:eastAsia="de-DE"/>
              </w:rPr>
              <w:t>2 i.v. + 2 p.o. *</w:t>
            </w:r>
          </w:p>
        </w:tc>
        <w:tc>
          <w:tcPr>
            <w:tcW w:w="5582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bei Vanco-Intoleranz</w:t>
            </w: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br/>
              <w:t>(nicht Pneumonie)</w:t>
            </w:r>
          </w:p>
        </w:tc>
      </w:tr>
      <w:tr w:rsidR="00A82D0A" w:rsidRPr="008078BC" w:rsidTr="00A82D0A">
        <w:tc>
          <w:tcPr>
            <w:tcW w:w="15301" w:type="dxa"/>
            <w:gridSpan w:val="5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spacing w:after="100" w:afterAutospacing="1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• Keine Endokarditis im transösophagealen Echo (TEE)Keine dauerhaft implantierten Fremdkörper (Kunstklappen, Gelenkprothesen, Herzschrittmacher, Defibrillator)</w:t>
            </w:r>
          </w:p>
          <w:p w:rsidR="00A82D0A" w:rsidRPr="008078BC" w:rsidRDefault="00A82D0A" w:rsidP="00A82D0A">
            <w:pPr>
              <w:spacing w:after="100" w:afterAutospacing="1"/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• Kein Anhalt für metastatische Absiedlungen oder Abszesse an anderer Stelle</w:t>
            </w:r>
          </w:p>
        </w:tc>
      </w:tr>
    </w:tbl>
    <w:p w:rsidR="00A82D0A" w:rsidRPr="008078BC" w:rsidRDefault="00A82D0A" w:rsidP="00A82D0A">
      <w:pPr>
        <w:shd w:val="clear" w:color="auto" w:fill="FFFFFF"/>
        <w:spacing w:after="100" w:afterAutospacing="1"/>
        <w:rPr>
          <w:rFonts w:ascii="Arial" w:eastAsia="Times New Roman" w:hAnsi="Arial" w:cs="Arial"/>
          <w:color w:val="555555"/>
          <w:lang w:eastAsia="de-DE"/>
        </w:rPr>
      </w:pPr>
      <w:r w:rsidRPr="008078BC">
        <w:rPr>
          <w:rFonts w:ascii="Arial" w:eastAsia="Times New Roman" w:hAnsi="Arial" w:cs="Arial"/>
          <w:color w:val="555555"/>
          <w:lang w:eastAsia="de-DE"/>
        </w:rPr>
        <w:t>* Nota bene!!! „orale Bioverfügbarkeit“: &gt; 90% Linezolid, Rifampicin, Fluorchinolon. 70% Clindamycin</w:t>
      </w:r>
    </w:p>
    <w:p w:rsidR="00A82D0A" w:rsidRPr="008078BC" w:rsidRDefault="00A82D0A" w:rsidP="00A82D0A">
      <w:pPr>
        <w:shd w:val="clear" w:color="auto" w:fill="FFFFFF"/>
        <w:spacing w:after="100" w:afterAutospacing="1"/>
        <w:rPr>
          <w:rFonts w:ascii="Arial" w:eastAsia="Times New Roman" w:hAnsi="Arial" w:cs="Arial"/>
          <w:color w:val="555555"/>
          <w:lang w:eastAsia="de-DE"/>
        </w:rPr>
      </w:pPr>
      <w:r w:rsidRPr="008078BC">
        <w:rPr>
          <w:rFonts w:ascii="Arial" w:eastAsia="Times New Roman" w:hAnsi="Arial" w:cs="Arial"/>
          <w:color w:val="555555"/>
          <w:lang w:eastAsia="de-DE"/>
        </w:rPr>
        <w:t> </w:t>
      </w:r>
    </w:p>
    <w:tbl>
      <w:tblPr>
        <w:tblW w:w="12130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4"/>
        <w:gridCol w:w="5426"/>
      </w:tblGrid>
      <w:tr w:rsidR="00A82D0A" w:rsidRPr="008078BC" w:rsidTr="00A82D0A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erstellt: PD Dr. med. univ. Ulrich Matt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vAlign w:val="center"/>
            <w:hideMark/>
          </w:tcPr>
          <w:p w:rsidR="00A82D0A" w:rsidRPr="008078BC" w:rsidRDefault="00A82D0A" w:rsidP="00A82D0A">
            <w:pPr>
              <w:rPr>
                <w:rFonts w:ascii="Arial" w:eastAsia="Times New Roman" w:hAnsi="Arial" w:cs="Arial"/>
                <w:color w:val="555555"/>
                <w:lang w:eastAsia="de-DE"/>
              </w:rPr>
            </w:pPr>
            <w:r w:rsidRPr="008078BC">
              <w:rPr>
                <w:rFonts w:ascii="Arial" w:eastAsia="Times New Roman" w:hAnsi="Arial" w:cs="Arial"/>
                <w:color w:val="555555"/>
                <w:lang w:eastAsia="de-DE"/>
              </w:rPr>
              <w:t>Freigabe: ABS-Team 03/2024</w:t>
            </w:r>
          </w:p>
        </w:tc>
      </w:tr>
    </w:tbl>
    <w:p w:rsidR="00084B34" w:rsidRPr="008078BC" w:rsidRDefault="00F51E55">
      <w:pPr>
        <w:rPr>
          <w:rFonts w:ascii="Arial" w:hAnsi="Arial" w:cs="Arial"/>
        </w:rPr>
      </w:pPr>
    </w:p>
    <w:sectPr w:rsidR="00084B34" w:rsidRPr="008078BC" w:rsidSect="00A82D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FD7" w:rsidRDefault="00C05FD7" w:rsidP="00A82D0A">
      <w:r>
        <w:separator/>
      </w:r>
    </w:p>
  </w:endnote>
  <w:endnote w:type="continuationSeparator" w:id="0">
    <w:p w:rsidR="00C05FD7" w:rsidRDefault="00C05FD7" w:rsidP="00A8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FD7" w:rsidRDefault="00C05FD7" w:rsidP="00A82D0A">
      <w:r>
        <w:separator/>
      </w:r>
    </w:p>
  </w:footnote>
  <w:footnote w:type="continuationSeparator" w:id="0">
    <w:p w:rsidR="00C05FD7" w:rsidRDefault="00C05FD7" w:rsidP="00A82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F3A9A"/>
    <w:multiLevelType w:val="multilevel"/>
    <w:tmpl w:val="BCD8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318E3"/>
    <w:multiLevelType w:val="multilevel"/>
    <w:tmpl w:val="E398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B4219"/>
    <w:multiLevelType w:val="multilevel"/>
    <w:tmpl w:val="002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BF2319"/>
    <w:multiLevelType w:val="multilevel"/>
    <w:tmpl w:val="3DE0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0A"/>
    <w:rsid w:val="001A67B1"/>
    <w:rsid w:val="003250EE"/>
    <w:rsid w:val="005D33E6"/>
    <w:rsid w:val="00623D89"/>
    <w:rsid w:val="00770803"/>
    <w:rsid w:val="008078BC"/>
    <w:rsid w:val="009F4C57"/>
    <w:rsid w:val="00A82D0A"/>
    <w:rsid w:val="00B80D0F"/>
    <w:rsid w:val="00BA220C"/>
    <w:rsid w:val="00C05FD7"/>
    <w:rsid w:val="00DB433E"/>
    <w:rsid w:val="00E56CB5"/>
    <w:rsid w:val="00F11091"/>
    <w:rsid w:val="00F50E29"/>
    <w:rsid w:val="00F5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999BB-5039-4B09-B240-C1FCAF4C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82D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82D0A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A82D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2D0A"/>
  </w:style>
  <w:style w:type="paragraph" w:styleId="Fuzeile">
    <w:name w:val="footer"/>
    <w:basedOn w:val="Standard"/>
    <w:link w:val="FuzeileZchn"/>
    <w:uiPriority w:val="99"/>
    <w:unhideWhenUsed/>
    <w:rsid w:val="00A82D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2D0A"/>
  </w:style>
  <w:style w:type="character" w:styleId="Hyperlink">
    <w:name w:val="Hyperlink"/>
    <w:basedOn w:val="Absatz-Standardschriftart"/>
    <w:uiPriority w:val="99"/>
    <w:semiHidden/>
    <w:unhideWhenUsed/>
    <w:rsid w:val="00A82D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7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Westbrock, Melanie</dc:creator>
  <cp:keywords/>
  <dc:description/>
  <cp:lastModifiedBy>Matt, Ulrich</cp:lastModifiedBy>
  <cp:revision>2</cp:revision>
  <dcterms:created xsi:type="dcterms:W3CDTF">2026-07-20T08:01:00Z</dcterms:created>
  <dcterms:modified xsi:type="dcterms:W3CDTF">2026-07-20T08:01:00Z</dcterms:modified>
</cp:coreProperties>
</file>